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CC2A" w14:textId="77777777" w:rsidR="00594281" w:rsidRDefault="00CF1846">
      <w:pPr>
        <w:spacing w:after="0" w:line="259" w:lineRule="auto"/>
        <w:ind w:left="-5"/>
      </w:pPr>
      <w:r>
        <w:rPr>
          <w:b/>
          <w:sz w:val="24"/>
        </w:rPr>
        <w:t xml:space="preserve">STATEMENT OF POLICY AND PROCEDURE </w:t>
      </w:r>
    </w:p>
    <w:p w14:paraId="258355D1" w14:textId="77777777" w:rsidR="00594281" w:rsidRDefault="00CF1846">
      <w:pPr>
        <w:ind w:right="7"/>
      </w:pPr>
      <w:r>
        <w:t xml:space="preserve">Section: NLLS Employee(s) | Chapter: Code of Ethics | Page(s): 1 </w:t>
      </w:r>
    </w:p>
    <w:p w14:paraId="3A7FF9F5" w14:textId="77777777" w:rsidR="00594281" w:rsidRDefault="00CF1846">
      <w:pPr>
        <w:ind w:left="11" w:right="7"/>
      </w:pPr>
      <w:r>
        <w:t xml:space="preserve">Subject: </w:t>
      </w:r>
      <w:r>
        <w:rPr>
          <w:b/>
        </w:rPr>
        <w:t xml:space="preserve">WHISTLEBLOWER POLICY </w:t>
      </w:r>
      <w:r>
        <w:t xml:space="preserve">| Sec 1, 3C Appendix X </w:t>
      </w:r>
    </w:p>
    <w:p w14:paraId="5AA50D56" w14:textId="77777777" w:rsidR="00594281" w:rsidRDefault="00CF1846">
      <w:pPr>
        <w:spacing w:after="586"/>
        <w:ind w:left="11" w:right="7"/>
      </w:pPr>
      <w:r>
        <w:t xml:space="preserve">Reviewed 2021/11/19 | Revised: 2022/03/04 | </w:t>
      </w:r>
      <w:r>
        <w:rPr>
          <w:b/>
        </w:rPr>
        <w:t>Effective: 2017/05/13</w:t>
      </w:r>
      <w:r>
        <w:t xml:space="preserve"> </w:t>
      </w:r>
    </w:p>
    <w:p w14:paraId="79CE93D5" w14:textId="20EDBA2E" w:rsidR="00CF1846" w:rsidRDefault="00CF1846">
      <w:pPr>
        <w:spacing w:after="223" w:line="259" w:lineRule="auto"/>
        <w:ind w:left="0" w:firstLine="0"/>
        <w:rPr>
          <w:b/>
          <w:sz w:val="28"/>
        </w:rPr>
      </w:pPr>
      <w:r>
        <w:rPr>
          <w:b/>
          <w:sz w:val="28"/>
        </w:rPr>
        <w:t>[Original]</w:t>
      </w:r>
    </w:p>
    <w:p w14:paraId="08FD7436" w14:textId="4E4CF7E3" w:rsidR="00594281" w:rsidRDefault="00CF1846">
      <w:pPr>
        <w:spacing w:after="223" w:line="259" w:lineRule="auto"/>
        <w:ind w:left="0" w:firstLine="0"/>
      </w:pPr>
      <w:r>
        <w:rPr>
          <w:b/>
          <w:sz w:val="28"/>
        </w:rPr>
        <w:t xml:space="preserve">SECTION 1 - 3.C APPENDIX X </w:t>
      </w:r>
    </w:p>
    <w:p w14:paraId="7E5FF888" w14:textId="77777777" w:rsidR="00594281" w:rsidRDefault="00CF1846">
      <w:pPr>
        <w:spacing w:after="0" w:line="259" w:lineRule="auto"/>
        <w:ind w:left="-5"/>
      </w:pPr>
      <w:r>
        <w:rPr>
          <w:b/>
          <w:sz w:val="24"/>
        </w:rPr>
        <w:t xml:space="preserve">WHISTLEBLOWER POLICY </w:t>
      </w:r>
    </w:p>
    <w:p w14:paraId="42CE6D18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Northern Lights Library System (NLLS) recognizes that personnel may be confronted in their positions with ethical and or morally challenging situations that are unclear, uncomfortable, and/or push the limits of personal and professional boundaries. </w:t>
      </w:r>
    </w:p>
    <w:p w14:paraId="043C1CF2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Employee(s) will report ethical/moral situations or concerns directly to the Executive Director and/or a designate. </w:t>
      </w:r>
    </w:p>
    <w:p w14:paraId="112F209F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Employee(s) will report ethical/moral situations or concerns directly to the Board Chair if the situation pertains to the Executive Director, executivechair@nlls.ab.ca. </w:t>
      </w:r>
    </w:p>
    <w:p w14:paraId="580329C9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NLLS staff that report such situations to management may expect that: </w:t>
      </w:r>
    </w:p>
    <w:p w14:paraId="0C66DC70" w14:textId="77777777" w:rsidR="00594281" w:rsidRDefault="00CF1846">
      <w:pPr>
        <w:numPr>
          <w:ilvl w:val="1"/>
          <w:numId w:val="1"/>
        </w:numPr>
        <w:ind w:right="7" w:hanging="360"/>
      </w:pPr>
      <w:r>
        <w:t xml:space="preserve">Management will maintain confidentiality </w:t>
      </w:r>
      <w:proofErr w:type="gramStart"/>
      <w:r>
        <w:t>with regard to</w:t>
      </w:r>
      <w:proofErr w:type="gramEnd"/>
      <w:r>
        <w:t xml:space="preserve"> the information that is presented by the employee(s), and act on it according to applicable legislation and company policy, such as: NLLS Grievance and Code of Ethics policies. </w:t>
      </w:r>
    </w:p>
    <w:p w14:paraId="6123750D" w14:textId="77777777" w:rsidR="00594281" w:rsidRDefault="00CF1846">
      <w:pPr>
        <w:numPr>
          <w:ilvl w:val="1"/>
          <w:numId w:val="1"/>
        </w:numPr>
        <w:ind w:right="7" w:hanging="360"/>
      </w:pPr>
      <w:r>
        <w:t xml:space="preserve">Management will inform employee(s) who report such situations, that they are entitled to seek expert legal advice if they feel a reasonable solution is not found within the organization directly. </w:t>
      </w:r>
    </w:p>
    <w:p w14:paraId="284E4EB0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Whistleblowers  </w:t>
      </w:r>
    </w:p>
    <w:p w14:paraId="5F2D7D0B" w14:textId="77777777" w:rsidR="00594281" w:rsidRDefault="00CF1846">
      <w:pPr>
        <w:numPr>
          <w:ilvl w:val="1"/>
          <w:numId w:val="1"/>
        </w:numPr>
        <w:ind w:right="7" w:hanging="360"/>
      </w:pPr>
      <w:r>
        <w:t xml:space="preserve">NLLS realizes that whistleblowers are people who act in ‘good faith’ and feel obligated to </w:t>
      </w:r>
      <w:proofErr w:type="gramStart"/>
      <w:r>
        <w:t>report:</w:t>
      </w:r>
      <w:proofErr w:type="gramEnd"/>
      <w:r>
        <w:t xml:space="preserve"> </w:t>
      </w:r>
      <w:proofErr w:type="spellStart"/>
      <w:r>
        <w:t>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A criminal offence. </w:t>
      </w:r>
    </w:p>
    <w:p w14:paraId="6F22F74B" w14:textId="77777777" w:rsidR="00594281" w:rsidRDefault="00CF1846">
      <w:pPr>
        <w:ind w:left="920" w:right="4389"/>
      </w:pPr>
      <w:r>
        <w:t>ii.</w:t>
      </w:r>
      <w:r>
        <w:rPr>
          <w:rFonts w:ascii="Arial" w:eastAsia="Arial" w:hAnsi="Arial" w:cs="Arial"/>
        </w:rPr>
        <w:t xml:space="preserve"> </w:t>
      </w:r>
      <w:r>
        <w:t>A breach of a legal obligation. iii.</w:t>
      </w:r>
      <w:r>
        <w:rPr>
          <w:rFonts w:ascii="Arial" w:eastAsia="Arial" w:hAnsi="Arial" w:cs="Arial"/>
        </w:rPr>
        <w:t xml:space="preserve"> </w:t>
      </w:r>
      <w:r>
        <w:t>A miscarriage of justice. iv.</w:t>
      </w:r>
      <w:r>
        <w:rPr>
          <w:rFonts w:ascii="Arial" w:eastAsia="Arial" w:hAnsi="Arial" w:cs="Arial"/>
        </w:rPr>
        <w:t xml:space="preserve"> </w:t>
      </w:r>
      <w:r>
        <w:t xml:space="preserve">A danger to the health and safety of any individual. </w:t>
      </w:r>
    </w:p>
    <w:p w14:paraId="2B75F275" w14:textId="77777777" w:rsidR="00594281" w:rsidRDefault="00CF1846">
      <w:pPr>
        <w:ind w:left="964" w:right="7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The deliberate covering up of information tending to show any of the above. </w:t>
      </w:r>
    </w:p>
    <w:p w14:paraId="66E32FDE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It will be considered a serious matter if retaliatory action is taken against the whistleblower by ANY personnel, management or otherwise, and disciplinary measures up to and including termination of employment will be considered. </w:t>
      </w:r>
    </w:p>
    <w:p w14:paraId="34B04EC9" w14:textId="77777777" w:rsidR="00594281" w:rsidRDefault="00CF1846">
      <w:pPr>
        <w:numPr>
          <w:ilvl w:val="0"/>
          <w:numId w:val="1"/>
        </w:numPr>
        <w:ind w:right="7" w:hanging="271"/>
      </w:pPr>
      <w:r>
        <w:t xml:space="preserve">If Whistleblower has been found to have maliciously made a false accusation, disciplinary measures up to and including termination of employment will be considered. </w:t>
      </w:r>
    </w:p>
    <w:p w14:paraId="3E186D1A" w14:textId="77777777" w:rsidR="00CF1846" w:rsidRDefault="00CF1846" w:rsidP="00CF1846">
      <w:pPr>
        <w:spacing w:after="15" w:line="259" w:lineRule="auto"/>
        <w:ind w:left="0" w:firstLine="0"/>
      </w:pPr>
    </w:p>
    <w:p w14:paraId="6ACB4783" w14:textId="0993FD78" w:rsidR="00594281" w:rsidRPr="00CF1846" w:rsidRDefault="00CF1846" w:rsidP="00CF1846">
      <w:pPr>
        <w:spacing w:after="223" w:line="259" w:lineRule="auto"/>
        <w:ind w:left="0" w:firstLine="0"/>
        <w:rPr>
          <w:b/>
          <w:sz w:val="28"/>
        </w:rPr>
      </w:pPr>
      <w:r w:rsidRPr="00CF1846">
        <w:rPr>
          <w:b/>
          <w:sz w:val="28"/>
        </w:rPr>
        <w:t xml:space="preserve">[UPDATE] </w:t>
      </w:r>
    </w:p>
    <w:p w14:paraId="13836C45" w14:textId="77777777" w:rsidR="00594281" w:rsidRDefault="00CF1846">
      <w:pPr>
        <w:spacing w:after="17" w:line="259" w:lineRule="auto"/>
        <w:ind w:left="1" w:firstLine="0"/>
      </w:pPr>
      <w:r>
        <w:t xml:space="preserve"> </w:t>
      </w:r>
    </w:p>
    <w:p w14:paraId="292A45ED" w14:textId="140EA144" w:rsidR="00CF1846" w:rsidRPr="00CF1846" w:rsidRDefault="00CF1846" w:rsidP="00CF1846">
      <w:pPr>
        <w:spacing w:after="223" w:line="259" w:lineRule="auto"/>
        <w:ind w:left="0" w:firstLine="0"/>
        <w:rPr>
          <w:b/>
          <w:sz w:val="28"/>
        </w:rPr>
      </w:pPr>
      <w:r w:rsidRPr="00CF1846">
        <w:rPr>
          <w:b/>
          <w:sz w:val="28"/>
        </w:rPr>
        <w:t>SECTION 1 - 3.C WHISTLEBLOWER POLICY</w:t>
      </w:r>
    </w:p>
    <w:p w14:paraId="55C94AF8" w14:textId="25764EEC" w:rsidR="00CF1846" w:rsidRPr="00CF1846" w:rsidRDefault="00CF1846" w:rsidP="00CF184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The Northern Lights Library System (NLLS) acknowledges that personnel may face ethical or morally challenging situations that are unclear, uncomfortable, and push the limits of personal and professional boundaries.</w:t>
      </w:r>
      <w:r w:rsidR="004D26D0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 This policy </w:t>
      </w:r>
      <w:r w:rsidR="00FE3781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aims to support the NLLS community in resolving these </w:t>
      </w:r>
      <w:r w:rsidR="00491DAB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situations.</w:t>
      </w:r>
    </w:p>
    <w:p w14:paraId="18ED4BCC" w14:textId="77777777" w:rsidR="00CF1846" w:rsidRPr="00CF1846" w:rsidRDefault="00CF1846" w:rsidP="00CF1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t>Reporting Ethical/Moral Situations</w:t>
      </w:r>
    </w:p>
    <w:p w14:paraId="628184F5" w14:textId="272B928C" w:rsidR="00CF1846" w:rsidRPr="00CF1846" w:rsidRDefault="00CF1846" w:rsidP="00CF18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Employees must report ethical or moral concerns directly to the Executive Director or </w:t>
      </w:r>
      <w:r w:rsidR="00EF235A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their </w:t>
      </w: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designate.</w:t>
      </w:r>
    </w:p>
    <w:p w14:paraId="1DD69F85" w14:textId="39B6D78E" w:rsidR="00CF1846" w:rsidRPr="00CF1846" w:rsidRDefault="00CF1846" w:rsidP="00CF18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If the concern pertains to the Executive Director, employees must report directly to the Board Chair at chair@nlls.ab.ca.</w:t>
      </w:r>
      <w:r w:rsidR="00EA31B2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br/>
      </w:r>
    </w:p>
    <w:p w14:paraId="4DB2761A" w14:textId="77777777" w:rsidR="00CF1846" w:rsidRPr="00CF1846" w:rsidRDefault="00CF1846" w:rsidP="00CF1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t>Management's Responsibility</w:t>
      </w:r>
    </w:p>
    <w:p w14:paraId="5269938B" w14:textId="2785C17F" w:rsidR="00CF1846" w:rsidRPr="00CF1846" w:rsidRDefault="00CF1846" w:rsidP="00CF18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lastRenderedPageBreak/>
        <w:t>Management will maintain confidentiality regarding information presented by employees</w:t>
      </w:r>
      <w:r w:rsidR="00FA0984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,</w:t>
      </w: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 and act according to applicable legislation and company policy, including NLLS Grievance and Code of Ethics policies.</w:t>
      </w:r>
    </w:p>
    <w:p w14:paraId="6211F507" w14:textId="68D1AA12" w:rsidR="00D02EC1" w:rsidRPr="00D02EC1" w:rsidRDefault="00CF1846" w:rsidP="00D02E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Management will inform employees reporting such situations that they are entitled to seek expert legal advice.</w:t>
      </w:r>
      <w:r w:rsidR="00D02EC1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br/>
      </w:r>
    </w:p>
    <w:p w14:paraId="4A952A67" w14:textId="77777777" w:rsidR="00CF1846" w:rsidRPr="00B440C5" w:rsidRDefault="00CF1846" w:rsidP="00CF1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t>Whistleblower Protections</w:t>
      </w:r>
    </w:p>
    <w:p w14:paraId="109A0021" w14:textId="5D2E73E7" w:rsidR="004A746A" w:rsidRPr="00737180" w:rsidRDefault="007D2867" w:rsidP="00B440C5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F615EE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NLLS recognizes that whistleblowers act in good faith and feel obligated to report</w:t>
      </w:r>
      <w:r w:rsidR="00F615EE" w:rsidRPr="00F615EE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 ethical or moral breaches of conduct.</w:t>
      </w:r>
      <w:r w:rsidR="00F615EE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 </w:t>
      </w:r>
      <w:r w:rsidR="00B440C5" w:rsidRPr="00F615EE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In Alberta, the types of wrongdoing that can be reported and are considered whistleblowing </w:t>
      </w:r>
      <w:r w:rsidR="006B28C9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are described in the </w:t>
      </w:r>
      <w:r w:rsidR="004A746A" w:rsidRPr="00737180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Public Interest Disclosure (Whistleblower Protection) Act (PIDA)</w:t>
      </w:r>
      <w:r w:rsidR="007524FD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. </w:t>
      </w:r>
      <w:r w:rsidR="005F5E93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These may include but are not limited to:</w:t>
      </w:r>
    </w:p>
    <w:p w14:paraId="2EC8B854" w14:textId="67EB9700" w:rsidR="00CF1846" w:rsidRPr="00CF1846" w:rsidRDefault="00CF1846" w:rsidP="00CF184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A criminal offen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c</w:t>
      </w: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e</w:t>
      </w:r>
    </w:p>
    <w:p w14:paraId="655433BF" w14:textId="77777777" w:rsidR="00CF1846" w:rsidRPr="00CF1846" w:rsidRDefault="00CF1846" w:rsidP="00CF184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A breach of a legal obligation</w:t>
      </w:r>
    </w:p>
    <w:p w14:paraId="6A52204B" w14:textId="77777777" w:rsidR="00CF1846" w:rsidRPr="00CF1846" w:rsidRDefault="00CF1846" w:rsidP="00CF184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A miscarriage of justice</w:t>
      </w:r>
    </w:p>
    <w:p w14:paraId="6BADCB63" w14:textId="77777777" w:rsidR="00CF1846" w:rsidRPr="00CF1846" w:rsidRDefault="00CF1846" w:rsidP="00CF184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A danger to the health and safety of any individual</w:t>
      </w:r>
    </w:p>
    <w:p w14:paraId="0560959F" w14:textId="4EF55FA7" w:rsidR="00CF1846" w:rsidRPr="00CF1846" w:rsidRDefault="00CF1846" w:rsidP="00CF184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The deliberate covering up of information tending to show any of the above</w:t>
      </w:r>
      <w:r w:rsidR="00323127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br/>
      </w:r>
    </w:p>
    <w:p w14:paraId="6558A397" w14:textId="55F94FB3" w:rsidR="00CF1846" w:rsidRPr="00CF1846" w:rsidRDefault="00CF1846" w:rsidP="00CF1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t>Protection Against Retaliation</w:t>
      </w:r>
      <w:r w:rsidR="00BC255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br/>
      </w:r>
    </w:p>
    <w:p w14:paraId="1488C5DA" w14:textId="540CC95F" w:rsidR="00CF1846" w:rsidRPr="00CF1846" w:rsidRDefault="00CF1846" w:rsidP="00CF18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Retaliatory actions against whistleblowers by personnel, including management, are considered serious matters. Disciplinary measures up to and including termination of employment will be considered.</w:t>
      </w:r>
    </w:p>
    <w:p w14:paraId="5E1B088C" w14:textId="77777777" w:rsidR="00CF1846" w:rsidRPr="00CF1846" w:rsidRDefault="00CF1846" w:rsidP="00CF18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>If a whistleblower is found to have maliciously made a false accusation, disciplinary measures up to and including termination of employment will be considered.</w:t>
      </w:r>
    </w:p>
    <w:p w14:paraId="4E23C038" w14:textId="77777777" w:rsidR="00CF1846" w:rsidRPr="00CF1846" w:rsidRDefault="003C6FA4" w:rsidP="00CF184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3C6FA4">
        <w:rPr>
          <w:rFonts w:ascii="Times New Roman" w:eastAsia="Times New Roman" w:hAnsi="Times New Roman" w:cs="Times New Roman"/>
          <w:noProof/>
          <w:color w:val="auto"/>
          <w:kern w:val="0"/>
          <w:sz w:val="24"/>
          <w:lang w:eastAsia="en-CA"/>
        </w:rPr>
        <w:pict w14:anchorId="4ED77CA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920A9F" w14:textId="1654BBC9" w:rsidR="00CF1846" w:rsidRPr="00CF1846" w:rsidRDefault="00CF1846" w:rsidP="00CF184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</w:pPr>
      <w:r w:rsidRPr="00CF184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t>NLLS Executive Board Chair</w:t>
      </w: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br/>
      </w:r>
      <w:r w:rsidRPr="00CF184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en-CA"/>
          <w14:ligatures w14:val="none"/>
        </w:rPr>
        <w:t>Date of Approval:</w:t>
      </w:r>
      <w:r w:rsidRPr="00CF1846">
        <w:rPr>
          <w:rFonts w:ascii="Times New Roman" w:eastAsia="Times New Roman" w:hAnsi="Times New Roman" w:cs="Times New Roman"/>
          <w:color w:val="auto"/>
          <w:kern w:val="0"/>
          <w:sz w:val="24"/>
          <w:lang w:eastAsia="en-CA"/>
          <w14:ligatures w14:val="none"/>
        </w:rPr>
        <w:t xml:space="preserve"> </w:t>
      </w:r>
    </w:p>
    <w:p w14:paraId="548BEF3F" w14:textId="53FC69A5" w:rsidR="00594281" w:rsidRDefault="00CF1846" w:rsidP="00CF1846">
      <w:pPr>
        <w:spacing w:after="15" w:line="259" w:lineRule="auto"/>
        <w:ind w:left="1" w:firstLine="0"/>
      </w:pPr>
      <w:r>
        <w:t xml:space="preserve">  </w:t>
      </w:r>
    </w:p>
    <w:p w14:paraId="17663841" w14:textId="77777777" w:rsidR="00594281" w:rsidRDefault="00CF1846">
      <w:pPr>
        <w:spacing w:after="114" w:line="259" w:lineRule="auto"/>
        <w:ind w:lef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EB21AB" wp14:editId="1C774F2D">
                <wp:extent cx="2779776" cy="6109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776" cy="6109"/>
                          <a:chOff x="0" y="0"/>
                          <a:chExt cx="2779776" cy="6109"/>
                        </a:xfrm>
                      </wpg:grpSpPr>
                      <wps:wsp>
                        <wps:cNvPr id="1772" name="Shape 1772"/>
                        <wps:cNvSpPr/>
                        <wps:spPr>
                          <a:xfrm>
                            <a:off x="0" y="0"/>
                            <a:ext cx="2779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9144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  <a:lnTo>
                                  <a:pt x="2779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" style="width:218.88pt;height:0.481018pt;mso-position-horizontal-relative:char;mso-position-vertical-relative:line" coordsize="27797,61">
                <v:shape id="Shape 1773" style="position:absolute;width:27797;height:91;left:0;top:0;" coordsize="2779776,9144" path="m0,0l2779776,0l2779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88CC76" w14:textId="77777777" w:rsidR="00594281" w:rsidRDefault="00CF1846">
      <w:pPr>
        <w:spacing w:after="5" w:line="259" w:lineRule="auto"/>
        <w:ind w:left="1" w:firstLine="0"/>
      </w:pPr>
      <w:r>
        <w:rPr>
          <w:b/>
        </w:rPr>
        <w:t xml:space="preserve">NLLS Executive Board Chair </w:t>
      </w:r>
    </w:p>
    <w:p w14:paraId="6618A335" w14:textId="24BEFF18" w:rsidR="00594281" w:rsidRDefault="00CF1846">
      <w:pPr>
        <w:tabs>
          <w:tab w:val="right" w:pos="9384"/>
        </w:tabs>
        <w:spacing w:after="115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5A3A0803" w14:textId="77777777" w:rsidR="00594281" w:rsidRDefault="00CF1846">
      <w:pPr>
        <w:spacing w:after="115" w:line="259" w:lineRule="auto"/>
        <w:ind w:left="6812" w:right="-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2531B6" wp14:editId="35F0EE15">
                <wp:extent cx="1636776" cy="6096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776" cy="6096"/>
                          <a:chOff x="0" y="0"/>
                          <a:chExt cx="1636776" cy="6096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1636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 h="9144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  <a:lnTo>
                                  <a:pt x="1636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7" style="width:128.88pt;height:0.47998pt;mso-position-horizontal-relative:char;mso-position-vertical-relative:line" coordsize="16367,60">
                <v:shape id="Shape 1775" style="position:absolute;width:16367;height:91;left:0;top:0;" coordsize="1636776,9144" path="m0,0l1636776,0l1636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523A2C" w14:textId="77777777" w:rsidR="00594281" w:rsidRDefault="00CF1846">
      <w:pPr>
        <w:spacing w:after="29" w:line="259" w:lineRule="auto"/>
        <w:ind w:left="0" w:right="25" w:firstLine="0"/>
        <w:jc w:val="right"/>
      </w:pPr>
      <w:r>
        <w:rPr>
          <w:b/>
        </w:rPr>
        <w:t xml:space="preserve">Date of Approval </w:t>
      </w:r>
    </w:p>
    <w:p w14:paraId="3F8BB3F4" w14:textId="77A32843" w:rsidR="00594281" w:rsidRDefault="00594281">
      <w:pPr>
        <w:spacing w:after="30" w:line="259" w:lineRule="auto"/>
        <w:ind w:left="0" w:firstLine="0"/>
      </w:pPr>
    </w:p>
    <w:p w14:paraId="6D83662A" w14:textId="77777777" w:rsidR="00594281" w:rsidRDefault="00CF1846">
      <w:pPr>
        <w:spacing w:after="27" w:line="259" w:lineRule="auto"/>
        <w:ind w:left="-5" w:right="3"/>
      </w:pPr>
      <w:r>
        <w:rPr>
          <w:sz w:val="20"/>
        </w:rPr>
        <w:t xml:space="preserve">Acknowledgement of Whistleblower Policy </w:t>
      </w:r>
    </w:p>
    <w:p w14:paraId="64F340E2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630D0008" w14:textId="77777777" w:rsidR="00594281" w:rsidRDefault="00CF1846">
      <w:pPr>
        <w:spacing w:after="33" w:line="259" w:lineRule="auto"/>
        <w:ind w:left="0" w:firstLine="0"/>
      </w:pPr>
      <w:r>
        <w:rPr>
          <w:sz w:val="20"/>
        </w:rPr>
        <w:t xml:space="preserve"> </w:t>
      </w:r>
    </w:p>
    <w:p w14:paraId="04C71C42" w14:textId="04754F4E" w:rsidR="00594281" w:rsidRDefault="00CF1846">
      <w:pPr>
        <w:spacing w:after="27" w:line="259" w:lineRule="auto"/>
        <w:ind w:left="-5" w:right="3"/>
      </w:pPr>
      <w:r>
        <w:rPr>
          <w:sz w:val="20"/>
        </w:rPr>
        <w:t xml:space="preserve">I, ______________________________________, agree to and understand the current NLLS Sec 1, 3C Whistleblower policy. </w:t>
      </w:r>
    </w:p>
    <w:p w14:paraId="6593D249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72F73134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10278D4E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5864B516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2A83FF56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24E740C3" w14:textId="77777777" w:rsidR="00594281" w:rsidRDefault="00CF1846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14:paraId="56AC4D5C" w14:textId="77777777" w:rsidR="00594281" w:rsidRDefault="00CF1846">
      <w:pPr>
        <w:spacing w:after="43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2B209811" w14:textId="77777777" w:rsidR="00594281" w:rsidRDefault="00CF1846">
      <w:pPr>
        <w:tabs>
          <w:tab w:val="center" w:pos="4320"/>
          <w:tab w:val="center" w:pos="6633"/>
        </w:tabs>
        <w:spacing w:after="27" w:line="259" w:lineRule="auto"/>
        <w:ind w:left="-15" w:firstLine="0"/>
      </w:pPr>
      <w:r>
        <w:rPr>
          <w:sz w:val="20"/>
        </w:rPr>
        <w:t xml:space="preserve">______________________________________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  </w:t>
      </w:r>
    </w:p>
    <w:p w14:paraId="5E6C158D" w14:textId="58737372" w:rsidR="00594281" w:rsidRDefault="00CF1846" w:rsidP="00CF184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232"/>
        </w:tabs>
        <w:spacing w:after="27" w:line="259" w:lineRule="auto"/>
        <w:ind w:left="-15" w:firstLine="0"/>
      </w:pPr>
      <w:r>
        <w:rPr>
          <w:sz w:val="20"/>
        </w:rPr>
        <w:t xml:space="preserve">Employee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</w:t>
      </w:r>
    </w:p>
    <w:p w14:paraId="7383B9BB" w14:textId="77777777" w:rsidR="00594281" w:rsidRDefault="00CF1846">
      <w:pPr>
        <w:spacing w:after="33" w:line="259" w:lineRule="auto"/>
        <w:ind w:left="2160" w:firstLine="0"/>
      </w:pPr>
      <w:r>
        <w:rPr>
          <w:b/>
          <w:sz w:val="20"/>
        </w:rPr>
        <w:t xml:space="preserve"> </w:t>
      </w:r>
    </w:p>
    <w:p w14:paraId="64ED97F3" w14:textId="0E3D31CC" w:rsidR="00594281" w:rsidRDefault="00CF1846" w:rsidP="00CF1846">
      <w:pPr>
        <w:spacing w:after="6279" w:line="259" w:lineRule="auto"/>
        <w:ind w:left="0" w:firstLine="0"/>
      </w:pPr>
      <w:r>
        <w:rPr>
          <w:b/>
          <w:sz w:val="20"/>
        </w:rPr>
        <w:t xml:space="preserve"> </w:t>
      </w:r>
    </w:p>
    <w:sectPr w:rsidR="00594281">
      <w:pgSz w:w="12240" w:h="15840"/>
      <w:pgMar w:top="720" w:right="1416" w:bottom="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49D1"/>
    <w:multiLevelType w:val="multilevel"/>
    <w:tmpl w:val="4BA8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B7FD8"/>
    <w:multiLevelType w:val="hybridMultilevel"/>
    <w:tmpl w:val="85FA27D0"/>
    <w:lvl w:ilvl="0" w:tplc="9B8E3F10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526D86">
      <w:start w:val="1"/>
      <w:numFmt w:val="lowerLetter"/>
      <w:lvlText w:val="%2)"/>
      <w:lvlJc w:val="left"/>
      <w:pPr>
        <w:ind w:left="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7620AC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5AA864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36974E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3AE826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E0CB64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304416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F62926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5151079">
    <w:abstractNumId w:val="1"/>
  </w:num>
  <w:num w:numId="2" w16cid:durableId="68147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81"/>
    <w:rsid w:val="00192BE4"/>
    <w:rsid w:val="001C35D2"/>
    <w:rsid w:val="002B69E2"/>
    <w:rsid w:val="00323127"/>
    <w:rsid w:val="003C6FA4"/>
    <w:rsid w:val="00491DAB"/>
    <w:rsid w:val="004A746A"/>
    <w:rsid w:val="004D26D0"/>
    <w:rsid w:val="00594281"/>
    <w:rsid w:val="005D4D03"/>
    <w:rsid w:val="005F5E93"/>
    <w:rsid w:val="00627941"/>
    <w:rsid w:val="006B28C9"/>
    <w:rsid w:val="00737180"/>
    <w:rsid w:val="007524FD"/>
    <w:rsid w:val="0078237D"/>
    <w:rsid w:val="007D2867"/>
    <w:rsid w:val="008F501A"/>
    <w:rsid w:val="00A5640A"/>
    <w:rsid w:val="00B440C5"/>
    <w:rsid w:val="00BC255F"/>
    <w:rsid w:val="00C905C1"/>
    <w:rsid w:val="00CF1846"/>
    <w:rsid w:val="00D02EC1"/>
    <w:rsid w:val="00EA31B2"/>
    <w:rsid w:val="00EF235A"/>
    <w:rsid w:val="00F615EE"/>
    <w:rsid w:val="00FA0984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2B6B"/>
  <w15:docId w15:val="{355C12DA-385D-7C4F-A3A9-ADB5247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 w:line="259" w:lineRule="auto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ui-provider">
    <w:name w:val="ui-provider"/>
    <w:basedOn w:val="DefaultParagraphFont"/>
    <w:rsid w:val="004A746A"/>
  </w:style>
  <w:style w:type="character" w:styleId="Strong">
    <w:name w:val="Strong"/>
    <w:basedOn w:val="DefaultParagraphFont"/>
    <w:uiPriority w:val="22"/>
    <w:qFormat/>
    <w:rsid w:val="004A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8" ma:contentTypeDescription="Create a new document." ma:contentTypeScope="" ma:versionID="af835e525dc30e79032d8e808660f5c8">
  <xsd:schema xmlns:xsd="http://www.w3.org/2001/XMLSchema" xmlns:xs="http://www.w3.org/2001/XMLSchema" xmlns:p="http://schemas.microsoft.com/office/2006/metadata/properties" xmlns:ns2="aae82c01-eba8-4623-b50e-e35e4eb30b72" xmlns:ns3="1ec774b5-6584-4a1b-99be-129105c929e2" targetNamespace="http://schemas.microsoft.com/office/2006/metadata/properties" ma:root="true" ma:fieldsID="3b4a379c418fdbb37ba3c19b2058fd4b" ns2:_="" ns3:_="">
    <xsd:import namespace="aae82c01-eba8-4623-b50e-e35e4eb30b72"/>
    <xsd:import namespace="1ec774b5-6584-4a1b-99be-129105c92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774b5-6584-4a1b-99be-129105c92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0A139-475B-44B0-9CCB-D2C7ED09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1ec774b5-6584-4a1b-99be-129105c92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7339E-6019-4654-B056-BAF765DD2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1CA41-733C-4D8A-8521-E846E9605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Paradis</dc:creator>
  <cp:keywords/>
  <cp:lastModifiedBy>James MacDonald</cp:lastModifiedBy>
  <cp:revision>25</cp:revision>
  <dcterms:created xsi:type="dcterms:W3CDTF">2024-06-19T15:28:00Z</dcterms:created>
  <dcterms:modified xsi:type="dcterms:W3CDTF">2024-06-27T14:22:00Z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0x0101006312347CE1EE8149AC77FCC39D076147</vt:lpwstr>
  </property>
</Properties>
</file>