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B791" w14:textId="77777777" w:rsidR="003F32F8" w:rsidRDefault="00000000">
      <w:pPr>
        <w:spacing w:after="0" w:line="259" w:lineRule="auto"/>
        <w:ind w:left="-5"/>
      </w:pPr>
      <w:r>
        <w:rPr>
          <w:b/>
          <w:sz w:val="24"/>
        </w:rPr>
        <w:t xml:space="preserve">STATEMENT OF POLICY AND PROCEDURE </w:t>
      </w:r>
    </w:p>
    <w:p w14:paraId="64150ED7" w14:textId="77777777" w:rsidR="003F32F8" w:rsidRDefault="00000000">
      <w:pPr>
        <w:ind w:right="8"/>
      </w:pPr>
      <w:r>
        <w:t xml:space="preserve">Section: Finance | Chapter: General | Page(s): 3 </w:t>
      </w:r>
    </w:p>
    <w:p w14:paraId="16E72DCB" w14:textId="77777777" w:rsidR="003F32F8" w:rsidRDefault="00000000">
      <w:pPr>
        <w:ind w:right="8"/>
      </w:pPr>
      <w:r>
        <w:t xml:space="preserve">Subject: </w:t>
      </w:r>
      <w:r>
        <w:rPr>
          <w:b/>
        </w:rPr>
        <w:t xml:space="preserve">BOOK ALLOTMENT </w:t>
      </w:r>
      <w:r>
        <w:t xml:space="preserve">| Sec 3, 1P </w:t>
      </w:r>
    </w:p>
    <w:p w14:paraId="3DD47680" w14:textId="77777777" w:rsidR="003F32F8" w:rsidRDefault="00000000">
      <w:pPr>
        <w:spacing w:after="550"/>
        <w:ind w:right="8"/>
      </w:pPr>
      <w:r>
        <w:t xml:space="preserve">Reviewed: NEW | Revised: NEW | </w:t>
      </w:r>
      <w:r>
        <w:rPr>
          <w:b/>
        </w:rPr>
        <w:t>Effective: 2022/03/04</w:t>
      </w:r>
      <w:r>
        <w:t xml:space="preserve"> </w:t>
      </w:r>
    </w:p>
    <w:p w14:paraId="1AD2D75B" w14:textId="77777777" w:rsidR="003F32F8" w:rsidRDefault="00000000">
      <w:pPr>
        <w:pStyle w:val="Heading1"/>
      </w:pPr>
      <w:r>
        <w:t xml:space="preserve">SECTION 3 – 1.P </w:t>
      </w:r>
    </w:p>
    <w:p w14:paraId="259C8325" w14:textId="77777777" w:rsidR="003F32F8" w:rsidRDefault="00000000">
      <w:pPr>
        <w:spacing w:after="0" w:line="259" w:lineRule="auto"/>
        <w:ind w:left="-5"/>
      </w:pPr>
      <w:r>
        <w:rPr>
          <w:b/>
          <w:sz w:val="24"/>
        </w:rPr>
        <w:t xml:space="preserve">BOOK ALLOTMENT </w:t>
      </w:r>
    </w:p>
    <w:p w14:paraId="005FE80E" w14:textId="71CE5510" w:rsidR="003F32F8" w:rsidRDefault="00000000">
      <w:pPr>
        <w:ind w:right="8"/>
      </w:pPr>
      <w:r>
        <w:t xml:space="preserve">Northern Lights Library System (NLLS) understands that </w:t>
      </w:r>
      <w:r w:rsidRPr="002C6F5C">
        <w:rPr>
          <w:strike/>
          <w:color w:val="FF0000"/>
        </w:rPr>
        <w:t>libraries</w:t>
      </w:r>
      <w:r>
        <w:t xml:space="preserve">, at their core, </w:t>
      </w:r>
      <w:r w:rsidRPr="002C6F5C">
        <w:rPr>
          <w:strike/>
          <w:color w:val="FF0000"/>
        </w:rPr>
        <w:t>are dependent upon</w:t>
      </w:r>
      <w:r w:rsidR="002C6F5C" w:rsidRPr="002C6F5C">
        <w:rPr>
          <w:color w:val="4EA72E" w:themeColor="accent6"/>
        </w:rPr>
        <w:t xml:space="preserve"> libraries depend on</w:t>
      </w:r>
      <w:r w:rsidR="002C6F5C">
        <w:rPr>
          <w:color w:val="4EA72E" w:themeColor="accent6"/>
        </w:rPr>
        <w:t xml:space="preserve"> </w:t>
      </w:r>
      <w:r>
        <w:t>relevant, robust, and community</w:t>
      </w:r>
      <w:r w:rsidR="002C6F5C" w:rsidRPr="002C6F5C">
        <w:rPr>
          <w:color w:val="4EA72E" w:themeColor="accent6"/>
        </w:rPr>
        <w:t>-</w:t>
      </w:r>
      <w:r>
        <w:t xml:space="preserve">centred collections. One of the primary roles of a library system is to ensure that libraries maintain their collections through regular acquisitions. To this end, the Book Allotment </w:t>
      </w:r>
      <w:r w:rsidRPr="002C6F5C">
        <w:rPr>
          <w:strike/>
          <w:color w:val="FF0000"/>
        </w:rPr>
        <w:t>is comprised of</w:t>
      </w:r>
      <w:r w:rsidRPr="002C6F5C">
        <w:rPr>
          <w:color w:val="FF0000"/>
        </w:rPr>
        <w:t xml:space="preserve"> </w:t>
      </w:r>
      <w:r w:rsidR="002C6F5C" w:rsidRPr="002C6F5C">
        <w:rPr>
          <w:color w:val="4EA72E" w:themeColor="accent6"/>
        </w:rPr>
        <w:t>comprises</w:t>
      </w:r>
      <w:r w:rsidR="002C6F5C">
        <w:rPr>
          <w:color w:val="FF0000"/>
        </w:rPr>
        <w:t xml:space="preserve"> </w:t>
      </w:r>
      <w:r>
        <w:t xml:space="preserve">a portion of the combined board and municipal system levy and set aside for collection development at member libraries. </w:t>
      </w:r>
      <w:r w:rsidR="002C6F5C">
        <w:br/>
      </w:r>
    </w:p>
    <w:p w14:paraId="7A560ABE" w14:textId="77777777" w:rsidR="003F32F8" w:rsidRDefault="00000000">
      <w:pPr>
        <w:numPr>
          <w:ilvl w:val="0"/>
          <w:numId w:val="1"/>
        </w:numPr>
        <w:ind w:right="8" w:hanging="360"/>
      </w:pPr>
      <w:r>
        <w:t xml:space="preserve">The amount of the system levy set aside for Book Allotment purchases, as required by the membership agreement (schedule C, 1.2), is set by Board policy. </w:t>
      </w:r>
    </w:p>
    <w:p w14:paraId="51E71AED" w14:textId="3EA9CEC1" w:rsidR="003F32F8" w:rsidRDefault="00000000">
      <w:pPr>
        <w:numPr>
          <w:ilvl w:val="0"/>
          <w:numId w:val="1"/>
        </w:numPr>
        <w:ind w:right="8" w:hanging="360"/>
      </w:pPr>
      <w:r>
        <w:t xml:space="preserve">The Book Allotment will be $2.15/capita </w:t>
      </w:r>
      <w:r w:rsidRPr="00BE5378">
        <w:rPr>
          <w:color w:val="auto"/>
        </w:rPr>
        <w:t>of the</w:t>
      </w:r>
      <w:r w:rsidR="00BE5378">
        <w:rPr>
          <w:color w:val="auto"/>
        </w:rPr>
        <w:t xml:space="preserve"> </w:t>
      </w:r>
      <w:r w:rsidR="00BE5378" w:rsidRPr="00BE5378">
        <w:rPr>
          <w:color w:val="00B050"/>
        </w:rPr>
        <w:t xml:space="preserve">municipal </w:t>
      </w:r>
      <w:r w:rsidRPr="002C6F5C">
        <w:rPr>
          <w:strike/>
          <w:color w:val="FF0000"/>
        </w:rPr>
        <w:t>membership</w:t>
      </w:r>
      <w:r w:rsidRPr="00BE5378">
        <w:rPr>
          <w:color w:val="auto"/>
        </w:rPr>
        <w:t xml:space="preserve"> levy</w:t>
      </w:r>
      <w:r>
        <w:t xml:space="preserve">. </w:t>
      </w:r>
    </w:p>
    <w:p w14:paraId="132700F1" w14:textId="2F987648" w:rsidR="002C6F5C" w:rsidRPr="002C6F5C" w:rsidRDefault="002C6F5C">
      <w:pPr>
        <w:numPr>
          <w:ilvl w:val="0"/>
          <w:numId w:val="1"/>
        </w:numPr>
        <w:ind w:right="8" w:hanging="360"/>
        <w:rPr>
          <w:color w:val="4EA72E" w:themeColor="accent6"/>
        </w:rPr>
      </w:pPr>
      <w:r w:rsidRPr="002C6F5C">
        <w:rPr>
          <w:color w:val="4EA72E" w:themeColor="accent6"/>
        </w:rPr>
        <w:t xml:space="preserve">Seven </w:t>
      </w:r>
      <w:r>
        <w:rPr>
          <w:color w:val="4EA72E" w:themeColor="accent6"/>
        </w:rPr>
        <w:t xml:space="preserve">(7) </w:t>
      </w:r>
      <w:r w:rsidRPr="002C6F5C">
        <w:rPr>
          <w:color w:val="4EA72E" w:themeColor="accent6"/>
        </w:rPr>
        <w:t>percent of the Book Allotment will be allocated to purchasing electronic materials in Overdrive. NLLS staff will administer this portion of Book Allotment centrally.</w:t>
      </w:r>
    </w:p>
    <w:p w14:paraId="2A00E0B9" w14:textId="589518C2" w:rsidR="003F32F8" w:rsidRPr="002C6F5C" w:rsidRDefault="00000000">
      <w:pPr>
        <w:numPr>
          <w:ilvl w:val="0"/>
          <w:numId w:val="1"/>
        </w:numPr>
        <w:ind w:right="8" w:hanging="360"/>
        <w:rPr>
          <w:color w:val="4EA72E" w:themeColor="accent6"/>
        </w:rPr>
      </w:pPr>
      <w:r>
        <w:t>All funds should be expended each fiscal year; however, libraries may roll</w:t>
      </w:r>
      <w:r w:rsidR="002C6F5C">
        <w:t xml:space="preserve"> </w:t>
      </w:r>
      <w:r>
        <w:t>over unexpended funds</w:t>
      </w:r>
      <w:r w:rsidR="002C6F5C">
        <w:t xml:space="preserve"> </w:t>
      </w:r>
      <w:r w:rsidR="002C6F5C" w:rsidRPr="002C6F5C">
        <w:rPr>
          <w:color w:val="4EA72E" w:themeColor="accent6"/>
        </w:rPr>
        <w:t>into the first quarter of the following year</w:t>
      </w:r>
      <w:r w:rsidRPr="002C6F5C">
        <w:rPr>
          <w:color w:val="4EA72E" w:themeColor="accent6"/>
        </w:rPr>
        <w:t>.</w:t>
      </w:r>
      <w:r w:rsidR="002C6F5C" w:rsidRPr="002C6F5C">
        <w:rPr>
          <w:color w:val="4EA72E" w:themeColor="accent6"/>
        </w:rPr>
        <w:t xml:space="preserve"> After which the funds will be transferred to the System’s collection budget.</w:t>
      </w:r>
      <w:r w:rsidRPr="002C6F5C">
        <w:rPr>
          <w:color w:val="4EA72E" w:themeColor="accent6"/>
        </w:rPr>
        <w:t xml:space="preserve"> </w:t>
      </w:r>
    </w:p>
    <w:p w14:paraId="7EB9DEE3" w14:textId="77777777" w:rsidR="003F32F8" w:rsidRPr="002C6F5C" w:rsidRDefault="00000000">
      <w:pPr>
        <w:numPr>
          <w:ilvl w:val="1"/>
          <w:numId w:val="1"/>
        </w:numPr>
        <w:ind w:right="8" w:hanging="360"/>
        <w:rPr>
          <w:strike/>
          <w:color w:val="FF0000"/>
        </w:rPr>
      </w:pPr>
      <w:r w:rsidRPr="002C6F5C">
        <w:rPr>
          <w:strike/>
          <w:color w:val="FF0000"/>
        </w:rPr>
        <w:t xml:space="preserve">Beginning 2023 rollover funds not spent within the first quarter of the year will revert to the system’s collection budget. </w:t>
      </w:r>
    </w:p>
    <w:p w14:paraId="3BA8A7D2" w14:textId="06FE6514" w:rsidR="003F32F8" w:rsidRDefault="00000000">
      <w:pPr>
        <w:numPr>
          <w:ilvl w:val="0"/>
          <w:numId w:val="1"/>
        </w:numPr>
        <w:ind w:right="8" w:hanging="360"/>
      </w:pPr>
      <w:r>
        <w:t xml:space="preserve">No purchases against Book Allotment funds will be permitted in the month of December to accommodate fiscal close. </w:t>
      </w:r>
    </w:p>
    <w:p w14:paraId="503AF8C8" w14:textId="77777777" w:rsidR="003F32F8" w:rsidRDefault="00000000">
      <w:pPr>
        <w:numPr>
          <w:ilvl w:val="0"/>
          <w:numId w:val="1"/>
        </w:numPr>
        <w:ind w:right="8" w:hanging="360"/>
      </w:pPr>
      <w:r>
        <w:t xml:space="preserve">Purchases may be made through NLLS’s acquisitions specialist or directly by the library. </w:t>
      </w:r>
    </w:p>
    <w:p w14:paraId="0166F42A" w14:textId="77777777" w:rsidR="003F32F8" w:rsidRDefault="00000000">
      <w:pPr>
        <w:numPr>
          <w:ilvl w:val="1"/>
          <w:numId w:val="1"/>
        </w:numPr>
        <w:ind w:right="8" w:hanging="360"/>
      </w:pPr>
      <w:r>
        <w:t xml:space="preserve">Purchases made directly by the library are known as outside purchases. </w:t>
      </w:r>
    </w:p>
    <w:p w14:paraId="65B1AB20" w14:textId="2F2A039F" w:rsidR="003F32F8" w:rsidRDefault="00000000">
      <w:pPr>
        <w:numPr>
          <w:ilvl w:val="1"/>
          <w:numId w:val="1"/>
        </w:numPr>
        <w:ind w:right="8" w:hanging="360"/>
      </w:pPr>
      <w:r>
        <w:t>Outside purchases will be reimbursed to the library or a designated employee through Electronic Funds Transfer only</w:t>
      </w:r>
      <w:r w:rsidR="00182572">
        <w:t>,</w:t>
      </w:r>
      <w:r>
        <w:t xml:space="preserve"> </w:t>
      </w:r>
      <w:r w:rsidRPr="00182572">
        <w:rPr>
          <w:strike/>
          <w:color w:val="FF0000"/>
        </w:rPr>
        <w:t>and</w:t>
      </w:r>
      <w:r>
        <w:t xml:space="preserve"> with proper submission of an outside purchase form with receipts. </w:t>
      </w:r>
    </w:p>
    <w:p w14:paraId="6BFEC97C" w14:textId="77777777" w:rsidR="003F32F8" w:rsidRDefault="00000000">
      <w:pPr>
        <w:numPr>
          <w:ilvl w:val="0"/>
          <w:numId w:val="1"/>
        </w:numPr>
        <w:ind w:right="8" w:hanging="360"/>
      </w:pPr>
      <w:r>
        <w:t xml:space="preserve">Items eligible for Book Allotment purchase include: </w:t>
      </w:r>
    </w:p>
    <w:p w14:paraId="28847DB4" w14:textId="77777777" w:rsidR="003F32F8" w:rsidRDefault="00000000">
      <w:pPr>
        <w:numPr>
          <w:ilvl w:val="1"/>
          <w:numId w:val="1"/>
        </w:numPr>
        <w:ind w:right="8" w:hanging="360"/>
      </w:pPr>
      <w:r>
        <w:t xml:space="preserve">Print materials of various formats </w:t>
      </w:r>
    </w:p>
    <w:p w14:paraId="7DD72C57" w14:textId="77777777" w:rsidR="003F32F8" w:rsidRPr="00182572" w:rsidRDefault="00000000">
      <w:pPr>
        <w:numPr>
          <w:ilvl w:val="1"/>
          <w:numId w:val="1"/>
        </w:numPr>
        <w:ind w:right="8" w:hanging="360"/>
        <w:rPr>
          <w:strike/>
          <w:color w:val="FF0000"/>
        </w:rPr>
      </w:pPr>
      <w:r w:rsidRPr="00182572">
        <w:rPr>
          <w:strike/>
          <w:color w:val="FF0000"/>
        </w:rPr>
        <w:t xml:space="preserve">Audiobooks in various formats </w:t>
      </w:r>
    </w:p>
    <w:p w14:paraId="42CD1086" w14:textId="77777777" w:rsidR="003F32F8" w:rsidRDefault="00000000">
      <w:pPr>
        <w:numPr>
          <w:ilvl w:val="1"/>
          <w:numId w:val="1"/>
        </w:numPr>
        <w:ind w:right="8" w:hanging="360"/>
      </w:pPr>
      <w:r>
        <w:t xml:space="preserve">Digital media in physical and electronic formats </w:t>
      </w:r>
    </w:p>
    <w:p w14:paraId="4FFFB587" w14:textId="77777777" w:rsidR="003F32F8" w:rsidRPr="00182572" w:rsidRDefault="00000000">
      <w:pPr>
        <w:numPr>
          <w:ilvl w:val="1"/>
          <w:numId w:val="1"/>
        </w:numPr>
        <w:ind w:right="8" w:hanging="360"/>
        <w:rPr>
          <w:strike/>
        </w:rPr>
      </w:pPr>
      <w:r w:rsidRPr="00182572">
        <w:rPr>
          <w:strike/>
          <w:color w:val="FF0000"/>
        </w:rPr>
        <w:t xml:space="preserve">Electronic books and audiobooks (i.e. Overdrive, etc.) </w:t>
      </w:r>
    </w:p>
    <w:p w14:paraId="1FE3D582" w14:textId="77777777" w:rsidR="003F32F8" w:rsidRDefault="00000000">
      <w:pPr>
        <w:numPr>
          <w:ilvl w:val="0"/>
          <w:numId w:val="1"/>
        </w:numPr>
        <w:ind w:right="8" w:hanging="360"/>
      </w:pPr>
      <w:r>
        <w:t xml:space="preserve">Materials purchased with book allotment funds must be shared with system members. </w:t>
      </w:r>
    </w:p>
    <w:p w14:paraId="0282B16D" w14:textId="77777777" w:rsidR="003F32F8" w:rsidRPr="00182572" w:rsidRDefault="00000000">
      <w:pPr>
        <w:numPr>
          <w:ilvl w:val="0"/>
          <w:numId w:val="1"/>
        </w:numPr>
        <w:ind w:right="8" w:hanging="360"/>
        <w:rPr>
          <w:strike/>
          <w:color w:val="FF0000"/>
        </w:rPr>
      </w:pPr>
      <w:r w:rsidRPr="00182572">
        <w:rPr>
          <w:strike/>
          <w:color w:val="FF0000"/>
        </w:rPr>
        <w:t xml:space="preserve">Libraries are strongly encouraged to expend Book Allotment funds on print materials and to allocate other funding for electronic resources or </w:t>
      </w:r>
      <w:proofErr w:type="spellStart"/>
      <w:r w:rsidRPr="00182572">
        <w:rPr>
          <w:strike/>
          <w:color w:val="FF0000"/>
        </w:rPr>
        <w:t>ebooks</w:t>
      </w:r>
      <w:proofErr w:type="spellEnd"/>
      <w:r w:rsidRPr="00182572">
        <w:rPr>
          <w:strike/>
          <w:color w:val="FF0000"/>
        </w:rPr>
        <w:t xml:space="preserve"> when possible. </w:t>
      </w:r>
    </w:p>
    <w:p w14:paraId="6ADD43DD" w14:textId="5ECA8C2D" w:rsidR="003F32F8" w:rsidRDefault="00000000">
      <w:pPr>
        <w:numPr>
          <w:ilvl w:val="0"/>
          <w:numId w:val="1"/>
        </w:numPr>
        <w:ind w:right="8" w:hanging="360"/>
      </w:pPr>
      <w:r>
        <w:t xml:space="preserve">System members with more than </w:t>
      </w:r>
      <w:r w:rsidR="00182572" w:rsidRPr="00A41755">
        <w:rPr>
          <w:color w:val="4EA72E" w:themeColor="accent6"/>
        </w:rPr>
        <w:t>one</w:t>
      </w:r>
      <w:r w:rsidR="00A41755" w:rsidRPr="00A41755">
        <w:rPr>
          <w:color w:val="4EA72E" w:themeColor="accent6"/>
        </w:rPr>
        <w:t xml:space="preserve"> (1)</w:t>
      </w:r>
      <w:r>
        <w:t xml:space="preserve"> library (generally counties) may direct book allotment funds between their libraries at their discretion. </w:t>
      </w:r>
    </w:p>
    <w:p w14:paraId="45816801" w14:textId="5C7EAD25" w:rsidR="003F32F8" w:rsidRDefault="00000000">
      <w:pPr>
        <w:numPr>
          <w:ilvl w:val="1"/>
          <w:numId w:val="1"/>
        </w:numPr>
        <w:ind w:right="8" w:hanging="360"/>
      </w:pPr>
      <w:r>
        <w:t xml:space="preserve">Funding ratios must be provided to </w:t>
      </w:r>
      <w:r w:rsidR="00182572" w:rsidRPr="00182572">
        <w:rPr>
          <w:color w:val="4EA72E" w:themeColor="accent6"/>
        </w:rPr>
        <w:t>the</w:t>
      </w:r>
      <w:r w:rsidR="00182572">
        <w:t xml:space="preserve"> </w:t>
      </w:r>
      <w:r>
        <w:t xml:space="preserve">NLLS administration </w:t>
      </w:r>
      <w:r w:rsidRPr="00182572">
        <w:rPr>
          <w:strike/>
          <w:color w:val="FF0000"/>
        </w:rPr>
        <w:t>prior to</w:t>
      </w:r>
      <w:r w:rsidRPr="00182572">
        <w:rPr>
          <w:color w:val="FF0000"/>
        </w:rPr>
        <w:t xml:space="preserve"> </w:t>
      </w:r>
      <w:r w:rsidR="00182572" w:rsidRPr="00182572">
        <w:rPr>
          <w:color w:val="4EA72E" w:themeColor="accent6"/>
        </w:rPr>
        <w:t>before</w:t>
      </w:r>
      <w:r w:rsidR="00182572">
        <w:t xml:space="preserve"> </w:t>
      </w:r>
      <w:r>
        <w:t xml:space="preserve">March 30th of each calendar year. </w:t>
      </w:r>
    </w:p>
    <w:p w14:paraId="0F6A1900" w14:textId="1F6D341B" w:rsidR="003F32F8" w:rsidRDefault="00000000" w:rsidP="001B74C0">
      <w:pPr>
        <w:numPr>
          <w:ilvl w:val="1"/>
          <w:numId w:val="1"/>
        </w:numPr>
        <w:ind w:right="8" w:hanging="360"/>
      </w:pPr>
      <w:r>
        <w:t xml:space="preserve">Where members do not specify funding ratios the funds will be divided equally between eligible libraries.  </w:t>
      </w:r>
    </w:p>
    <w:p w14:paraId="744DC6F9" w14:textId="77777777" w:rsidR="003F32F8" w:rsidRDefault="00000000">
      <w:pPr>
        <w:spacing w:after="17" w:line="259" w:lineRule="auto"/>
        <w:ind w:left="540" w:firstLine="0"/>
      </w:pPr>
      <w:r>
        <w:t xml:space="preserve"> </w:t>
      </w:r>
    </w:p>
    <w:p w14:paraId="253CD806" w14:textId="5CB8A76E" w:rsidR="003F32F8" w:rsidRDefault="00000000" w:rsidP="001B74C0">
      <w:pPr>
        <w:spacing w:after="15" w:line="259" w:lineRule="auto"/>
        <w:ind w:left="720" w:firstLine="0"/>
      </w:pPr>
      <w:r>
        <w:t xml:space="preserve">  </w:t>
      </w:r>
    </w:p>
    <w:p w14:paraId="2A382ECE" w14:textId="77777777" w:rsidR="003F32F8" w:rsidRDefault="00000000">
      <w:pPr>
        <w:spacing w:after="15" w:line="259" w:lineRule="auto"/>
        <w:ind w:left="540" w:firstLine="0"/>
      </w:pPr>
      <w:r>
        <w:t xml:space="preserve"> </w:t>
      </w:r>
    </w:p>
    <w:p w14:paraId="48685965" w14:textId="77777777" w:rsidR="003F32F8" w:rsidRDefault="00000000">
      <w:pPr>
        <w:spacing w:after="0" w:line="259" w:lineRule="auto"/>
        <w:ind w:left="0" w:firstLine="0"/>
      </w:pPr>
      <w:r>
        <w:t xml:space="preserve"> </w:t>
      </w:r>
    </w:p>
    <w:p w14:paraId="663A593F" w14:textId="77777777" w:rsidR="003F32F8" w:rsidRDefault="00000000">
      <w:pPr>
        <w:spacing w:after="115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C736C1" wp14:editId="468C3978">
                <wp:extent cx="2779776" cy="6097"/>
                <wp:effectExtent l="0" t="0" r="0" b="0"/>
                <wp:docPr id="2862" name="Group 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9776" cy="6097"/>
                          <a:chOff x="0" y="0"/>
                          <a:chExt cx="2779776" cy="6097"/>
                        </a:xfrm>
                      </wpg:grpSpPr>
                      <wps:wsp>
                        <wps:cNvPr id="3716" name="Shape 3716"/>
                        <wps:cNvSpPr/>
                        <wps:spPr>
                          <a:xfrm>
                            <a:off x="0" y="0"/>
                            <a:ext cx="2779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 h="9144">
                                <a:moveTo>
                                  <a:pt x="0" y="0"/>
                                </a:moveTo>
                                <a:lnTo>
                                  <a:pt x="2779776" y="0"/>
                                </a:lnTo>
                                <a:lnTo>
                                  <a:pt x="2779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2" style="width:218.88pt;height:0.480042pt;mso-position-horizontal-relative:char;mso-position-vertical-relative:line" coordsize="27797,60">
                <v:shape id="Shape 3717" style="position:absolute;width:27797;height:91;left:0;top:0;" coordsize="2779776,9144" path="m0,0l2779776,0l2779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7EB2C1" w14:textId="77777777" w:rsidR="003F32F8" w:rsidRDefault="00000000">
      <w:pPr>
        <w:spacing w:after="77" w:line="259" w:lineRule="auto"/>
        <w:ind w:left="0" w:firstLine="0"/>
      </w:pPr>
      <w:r>
        <w:rPr>
          <w:b/>
        </w:rPr>
        <w:t xml:space="preserve">NLLS Executive Board Chair </w:t>
      </w:r>
    </w:p>
    <w:p w14:paraId="029C9366" w14:textId="77777777" w:rsidR="003F32F8" w:rsidRDefault="00000000">
      <w:pPr>
        <w:spacing w:after="103" w:line="259" w:lineRule="auto"/>
        <w:ind w:left="0" w:firstLine="0"/>
        <w:jc w:val="right"/>
      </w:pPr>
      <w:r>
        <w:t xml:space="preserve">March 4, 2022 </w:t>
      </w:r>
    </w:p>
    <w:p w14:paraId="4BCF5824" w14:textId="77777777" w:rsidR="003F32F8" w:rsidRDefault="00000000">
      <w:pPr>
        <w:spacing w:after="115" w:line="259" w:lineRule="auto"/>
        <w:ind w:left="6811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8582A5" wp14:editId="78F1A371">
                <wp:extent cx="1636776" cy="6096"/>
                <wp:effectExtent l="0" t="0" r="0" b="0"/>
                <wp:docPr id="2863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776" cy="6096"/>
                          <a:chOff x="0" y="0"/>
                          <a:chExt cx="1636776" cy="6096"/>
                        </a:xfrm>
                      </wpg:grpSpPr>
                      <wps:wsp>
                        <wps:cNvPr id="3718" name="Shape 3718"/>
                        <wps:cNvSpPr/>
                        <wps:spPr>
                          <a:xfrm>
                            <a:off x="0" y="0"/>
                            <a:ext cx="1636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 h="9144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  <a:lnTo>
                                  <a:pt x="1636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3" style="width:128.88pt;height:0.47998pt;mso-position-horizontal-relative:char;mso-position-vertical-relative:line" coordsize="16367,60">
                <v:shape id="Shape 3719" style="position:absolute;width:16367;height:91;left:0;top:0;" coordsize="1636776,9144" path="m0,0l1636776,0l1636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753DBC" w14:textId="77777777" w:rsidR="003F32F8" w:rsidRDefault="00000000">
      <w:pPr>
        <w:spacing w:after="15" w:line="259" w:lineRule="auto"/>
        <w:ind w:left="0" w:right="26" w:firstLine="0"/>
        <w:jc w:val="right"/>
      </w:pPr>
      <w:r>
        <w:rPr>
          <w:b/>
        </w:rPr>
        <w:t xml:space="preserve">Date of Approval </w:t>
      </w:r>
    </w:p>
    <w:p w14:paraId="68CE5246" w14:textId="77777777" w:rsidR="003F32F8" w:rsidRDefault="00000000">
      <w:pPr>
        <w:spacing w:after="0" w:line="259" w:lineRule="auto"/>
        <w:ind w:left="720" w:firstLine="0"/>
      </w:pPr>
      <w:r>
        <w:t xml:space="preserve"> </w:t>
      </w:r>
    </w:p>
    <w:p w14:paraId="4E3746BB" w14:textId="77777777" w:rsidR="003F32F8" w:rsidRDefault="00000000">
      <w:pPr>
        <w:spacing w:after="36" w:line="259" w:lineRule="auto"/>
        <w:ind w:left="720" w:firstLine="0"/>
      </w:pPr>
      <w:r>
        <w:t xml:space="preserve"> </w:t>
      </w:r>
    </w:p>
    <w:sectPr w:rsidR="003F32F8">
      <w:footerReference w:type="even" r:id="rId10"/>
      <w:footerReference w:type="default" r:id="rId11"/>
      <w:footerReference w:type="first" r:id="rId12"/>
      <w:pgSz w:w="12240" w:h="15840"/>
      <w:pgMar w:top="755" w:right="1416" w:bottom="1041" w:left="1440" w:header="72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7F27" w14:textId="77777777" w:rsidR="0098004B" w:rsidRDefault="0098004B">
      <w:pPr>
        <w:spacing w:after="0" w:line="240" w:lineRule="auto"/>
      </w:pPr>
      <w:r>
        <w:separator/>
      </w:r>
    </w:p>
  </w:endnote>
  <w:endnote w:type="continuationSeparator" w:id="0">
    <w:p w14:paraId="3287A082" w14:textId="77777777" w:rsidR="0098004B" w:rsidRDefault="0098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F24" w14:textId="77777777" w:rsidR="003F32F8" w:rsidRDefault="00000000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14:paraId="320A473D" w14:textId="77777777" w:rsidR="003F32F8" w:rsidRDefault="00000000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BA0" w14:textId="77777777" w:rsidR="003F32F8" w:rsidRDefault="00000000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14:paraId="16BB5B97" w14:textId="77777777" w:rsidR="003F32F8" w:rsidRDefault="00000000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1DEC" w14:textId="77777777" w:rsidR="003F32F8" w:rsidRDefault="00000000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14:paraId="0A3AB32A" w14:textId="77777777" w:rsidR="003F32F8" w:rsidRDefault="00000000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525E" w14:textId="77777777" w:rsidR="0098004B" w:rsidRDefault="0098004B">
      <w:pPr>
        <w:spacing w:after="0" w:line="240" w:lineRule="auto"/>
      </w:pPr>
      <w:r>
        <w:separator/>
      </w:r>
    </w:p>
  </w:footnote>
  <w:footnote w:type="continuationSeparator" w:id="0">
    <w:p w14:paraId="02B4F5A9" w14:textId="77777777" w:rsidR="0098004B" w:rsidRDefault="0098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091"/>
    <w:multiLevelType w:val="hybridMultilevel"/>
    <w:tmpl w:val="5E72BF92"/>
    <w:lvl w:ilvl="0" w:tplc="D8D29E5A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A6B8A0">
      <w:start w:val="1"/>
      <w:numFmt w:val="lowerLetter"/>
      <w:lvlText w:val="%2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0EB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96F3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1C8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0CB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907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C6D8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3A94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C6DC0"/>
    <w:multiLevelType w:val="hybridMultilevel"/>
    <w:tmpl w:val="6374CE82"/>
    <w:lvl w:ilvl="0" w:tplc="C9AEAEFA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045AF2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C4E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7487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A65B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0E4F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3CB2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E040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BC01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E79CE"/>
    <w:multiLevelType w:val="hybridMultilevel"/>
    <w:tmpl w:val="3B209F62"/>
    <w:lvl w:ilvl="0" w:tplc="1D54701A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8ED7A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963F5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AC2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46A2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5CFAA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FC94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E362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EAC3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575518">
    <w:abstractNumId w:val="0"/>
  </w:num>
  <w:num w:numId="2" w16cid:durableId="4871922">
    <w:abstractNumId w:val="2"/>
  </w:num>
  <w:num w:numId="3" w16cid:durableId="125613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F8"/>
    <w:rsid w:val="00182572"/>
    <w:rsid w:val="001B74C0"/>
    <w:rsid w:val="002C6F5C"/>
    <w:rsid w:val="003F32F8"/>
    <w:rsid w:val="004F0110"/>
    <w:rsid w:val="008F501A"/>
    <w:rsid w:val="0098004B"/>
    <w:rsid w:val="00A41755"/>
    <w:rsid w:val="00AE488C"/>
    <w:rsid w:val="00B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014A9"/>
  <w15:docId w15:val="{FF291560-D3AA-1C40-8D08-73B43653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2" w:line="259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 w:line="268" w:lineRule="auto"/>
      <w:ind w:left="73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8" ma:contentTypeDescription="Create a new document." ma:contentTypeScope="" ma:versionID="af835e525dc30e79032d8e808660f5c8">
  <xsd:schema xmlns:xsd="http://www.w3.org/2001/XMLSchema" xmlns:xs="http://www.w3.org/2001/XMLSchema" xmlns:p="http://schemas.microsoft.com/office/2006/metadata/properties" xmlns:ns2="aae82c01-eba8-4623-b50e-e35e4eb30b72" xmlns:ns3="1ec774b5-6584-4a1b-99be-129105c929e2" targetNamespace="http://schemas.microsoft.com/office/2006/metadata/properties" ma:root="true" ma:fieldsID="3b4a379c418fdbb37ba3c19b2058fd4b" ns2:_="" ns3:_="">
    <xsd:import namespace="aae82c01-eba8-4623-b50e-e35e4eb30b72"/>
    <xsd:import namespace="1ec774b5-6584-4a1b-99be-129105c92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774b5-6584-4a1b-99be-129105c92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3F4C2-F3E4-4B03-A49E-27E6FCCD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1ec774b5-6584-4a1b-99be-129105c92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8F7E9-B2FB-42FE-A28C-4261BE43E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05745-D2AE-431D-9DC3-8C22D1889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Paradis</dc:creator>
  <cp:keywords/>
  <cp:lastModifiedBy>James MacDonald</cp:lastModifiedBy>
  <cp:revision>5</cp:revision>
  <dcterms:created xsi:type="dcterms:W3CDTF">2024-06-20T17:59:00Z</dcterms:created>
  <dcterms:modified xsi:type="dcterms:W3CDTF">2024-06-27T14:33:00Z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0x0101006312347CE1EE8149AC77FCC39D076147</vt:lpwstr>
  </property>
</Properties>
</file>